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4"/>
          <w:shd w:val="clear" w:color="auto" w:fill="EFF0F2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4"/>
          <w:shd w:val="clear" w:color="auto" w:fill="EFF0F2"/>
          <w:lang w:eastAsia="ru-RU"/>
        </w:rPr>
        <w:t>Объявление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z w:val="28"/>
          <w:szCs w:val="24"/>
          <w:shd w:val="clear" w:color="auto" w:fill="EFF0F2"/>
          <w:lang w:eastAsia="ru-RU"/>
        </w:rPr>
        <w:t>Министерство экономического развития Рязанской области информирует, что</w:t>
      </w: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 с 1 января 2025 года действует новая норма, обязывающая формировать реестр субсидий и проводить отбор получателей субсидий через систему «Электронный бюджет».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Для индивидуальных предпринимателей и юридических лиц, занимающихся розничной торговлей в сельской местности, предусмотрены специальные меры государственной поддержки. Эти меры предоставляются через портал </w:t>
      </w:r>
      <w:hyperlink r:id="rId5" w:tgtFrame="_blank" w:history="1">
        <w:r w:rsidRPr="00F87192">
          <w:rPr>
            <w:rFonts w:ascii="Times New Roman" w:eastAsia="Times New Roman" w:hAnsi="Times New Roman" w:cs="Times New Roman"/>
            <w:color w:val="0070F0"/>
            <w:spacing w:val="-5"/>
            <w:sz w:val="28"/>
            <w:szCs w:val="24"/>
            <w:u w:val="single"/>
            <w:shd w:val="clear" w:color="auto" w:fill="EFF0F2"/>
            <w:lang w:eastAsia="ru-RU"/>
          </w:rPr>
          <w:t>https://promote.budget.gov.ru</w:t>
        </w:r>
      </w:hyperlink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.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 xml:space="preserve">Конкурсные процедуры запланированы </w:t>
      </w:r>
      <w:bookmarkStart w:id="0" w:name="_GoBack"/>
      <w:bookmarkEnd w:id="0"/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на сентябрь-ноябрь 2025 года.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Инструкция по оформлению заявок доступна на портале в разделе технической поддержки.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Контактные лица для консультации и помощи:</w:t>
      </w:r>
    </w:p>
    <w:p w:rsidR="00F87192" w:rsidRPr="00F87192" w:rsidRDefault="00F87192" w:rsidP="00F87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Анна Александровна Серикова, телефон: (84912) 707-175</w:t>
      </w:r>
    </w:p>
    <w:p w:rsidR="00F87192" w:rsidRPr="00F87192" w:rsidRDefault="00F87192" w:rsidP="00F871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Татьяна Михайловна Пушкова, телефон: (84912) 707-155</w:t>
      </w:r>
    </w:p>
    <w:p w:rsidR="00F87192" w:rsidRPr="00F87192" w:rsidRDefault="00F87192" w:rsidP="00F8719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2C2D2E"/>
          <w:sz w:val="24"/>
          <w:szCs w:val="23"/>
          <w:lang w:eastAsia="ru-RU"/>
        </w:rPr>
      </w:pPr>
      <w:r w:rsidRPr="00F87192">
        <w:rPr>
          <w:rFonts w:ascii="Times New Roman" w:eastAsia="Times New Roman" w:hAnsi="Times New Roman" w:cs="Times New Roman"/>
          <w:color w:val="2C2D2E"/>
          <w:spacing w:val="-5"/>
          <w:sz w:val="28"/>
          <w:szCs w:val="24"/>
          <w:bdr w:val="none" w:sz="0" w:space="0" w:color="auto" w:frame="1"/>
          <w:shd w:val="clear" w:color="auto" w:fill="EFF0F2"/>
          <w:lang w:eastAsia="ru-RU"/>
        </w:rPr>
        <w:t>Дополнительную помощь в оформлении документов могут оказать специалисты Центра развития потребительского рынка АНО «Агентство развития бизнеса Рязанской области».</w:t>
      </w:r>
    </w:p>
    <w:p w:rsidR="004A400E" w:rsidRDefault="004A400E"/>
    <w:sectPr w:rsidR="004A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E1BE4"/>
    <w:multiLevelType w:val="multilevel"/>
    <w:tmpl w:val="45A65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92"/>
    <w:rsid w:val="004A400E"/>
    <w:rsid w:val="00F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7374-7FAC-40C1-9DE5-F9C91AD9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KolekinaEV_6211</dc:creator>
  <cp:keywords/>
  <dc:description/>
  <cp:lastModifiedBy>KolekinaEV_6211</cp:lastModifiedBy>
  <cp:revision>1</cp:revision>
  <dcterms:created xsi:type="dcterms:W3CDTF">2025-09-16T11:42:00Z</dcterms:created>
  <dcterms:modified xsi:type="dcterms:W3CDTF">2025-09-16T11:43:00Z</dcterms:modified>
</cp:coreProperties>
</file>